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566" w:rsidRDefault="003748AC" w:rsidP="0037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66">
        <w:rPr>
          <w:rFonts w:ascii="Times New Roman" w:hAnsi="Times New Roman" w:cs="Times New Roman"/>
          <w:b/>
          <w:sz w:val="28"/>
          <w:szCs w:val="28"/>
        </w:rPr>
        <w:t>Informácia o výsledku vyhodnotenia ponúk a poradie uchádzačov                                              podľa § 44, ods. 2 Zákona č.25/2006 o verejnom obstarávaní a o zmene a doplnení niektorých zákonov v znení neskorších predpisov</w:t>
      </w:r>
    </w:p>
    <w:p w:rsidR="003748AC" w:rsidRPr="004E18E3" w:rsidRDefault="003748AC" w:rsidP="00161566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: </w:t>
      </w:r>
      <w:r w:rsidRPr="004E18E3">
        <w:rPr>
          <w:rFonts w:ascii="Times New Roman" w:hAnsi="Times New Roman" w:cs="Times New Roman"/>
          <w:b/>
          <w:sz w:val="24"/>
          <w:szCs w:val="24"/>
        </w:rPr>
        <w:t>Hotelová akadémia, Štefánikova 28, Humenné 066 01</w:t>
      </w:r>
    </w:p>
    <w:p w:rsidR="003748AC" w:rsidRPr="004E18E3" w:rsidRDefault="003748AC" w:rsidP="001615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verejného obstarávania : </w:t>
      </w:r>
      <w:r w:rsidRPr="004E18E3">
        <w:rPr>
          <w:rFonts w:ascii="Times New Roman" w:hAnsi="Times New Roman" w:cs="Times New Roman"/>
          <w:b/>
          <w:sz w:val="24"/>
          <w:szCs w:val="24"/>
        </w:rPr>
        <w:t xml:space="preserve">Verejná súťaž </w:t>
      </w:r>
    </w:p>
    <w:p w:rsidR="003748AC" w:rsidRPr="004E18E3" w:rsidRDefault="003748AC" w:rsidP="001615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Zákazka : </w:t>
      </w:r>
      <w:r w:rsidRPr="004E18E3">
        <w:rPr>
          <w:rFonts w:ascii="Times New Roman" w:hAnsi="Times New Roman" w:cs="Times New Roman"/>
          <w:b/>
          <w:sz w:val="24"/>
          <w:szCs w:val="24"/>
        </w:rPr>
        <w:t>podlimitná zákazka na dodanie tovaru</w:t>
      </w:r>
    </w:p>
    <w:p w:rsidR="003748AC" w:rsidRPr="004E18E3" w:rsidRDefault="003748AC" w:rsidP="0016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zákazky : </w:t>
      </w:r>
      <w:r w:rsidRPr="004E18E3">
        <w:rPr>
          <w:rFonts w:ascii="Times New Roman" w:hAnsi="Times New Roman" w:cs="Times New Roman"/>
          <w:b/>
          <w:sz w:val="24"/>
          <w:szCs w:val="24"/>
        </w:rPr>
        <w:t>Zariadenie do cvičných kuchýň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 xml:space="preserve">, rozčlenené na samostatné časti : </w:t>
      </w:r>
    </w:p>
    <w:p w:rsidR="00431D88" w:rsidRPr="004E18E3" w:rsidRDefault="004E18E3" w:rsidP="004E18E3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1D88" w:rsidRPr="00161566">
        <w:rPr>
          <w:rFonts w:ascii="Times New Roman" w:hAnsi="Times New Roman" w:cs="Times New Roman"/>
          <w:sz w:val="24"/>
          <w:szCs w:val="24"/>
        </w:rPr>
        <w:t>časť A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D88" w:rsidRPr="00161566">
        <w:rPr>
          <w:rFonts w:ascii="Times New Roman" w:hAnsi="Times New Roman" w:cs="Times New Roman"/>
          <w:sz w:val="24"/>
          <w:szCs w:val="24"/>
        </w:rPr>
        <w:t xml:space="preserve">: 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>Elektrospotrebiče</w:t>
      </w:r>
    </w:p>
    <w:p w:rsidR="00431D88" w:rsidRPr="004E18E3" w:rsidRDefault="004E18E3" w:rsidP="004E18E3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1D88" w:rsidRPr="00161566">
        <w:rPr>
          <w:rFonts w:ascii="Times New Roman" w:hAnsi="Times New Roman" w:cs="Times New Roman"/>
          <w:sz w:val="24"/>
          <w:szCs w:val="24"/>
        </w:rPr>
        <w:t>časť B :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 xml:space="preserve"> Kuchynské stoly a regály</w:t>
      </w:r>
    </w:p>
    <w:p w:rsidR="00431D88" w:rsidRPr="004E18E3" w:rsidRDefault="004E18E3" w:rsidP="004E1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31D88" w:rsidRPr="00161566">
        <w:rPr>
          <w:rFonts w:ascii="Times New Roman" w:hAnsi="Times New Roman" w:cs="Times New Roman"/>
          <w:sz w:val="24"/>
          <w:szCs w:val="24"/>
        </w:rPr>
        <w:t xml:space="preserve">časť C : 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>Kuchynský inventár :</w:t>
      </w:r>
    </w:p>
    <w:p w:rsidR="00431D88" w:rsidRPr="004E18E3" w:rsidRDefault="004E18E3" w:rsidP="004E18E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31D88" w:rsidRPr="00161566">
        <w:rPr>
          <w:rFonts w:ascii="Times New Roman" w:hAnsi="Times New Roman" w:cs="Times New Roman"/>
          <w:sz w:val="24"/>
          <w:szCs w:val="24"/>
        </w:rPr>
        <w:t xml:space="preserve">časť D : </w:t>
      </w:r>
      <w:r w:rsidR="00431D88" w:rsidRPr="004E18E3">
        <w:rPr>
          <w:rFonts w:ascii="Times New Roman" w:hAnsi="Times New Roman" w:cs="Times New Roman"/>
          <w:b/>
          <w:sz w:val="24"/>
          <w:szCs w:val="24"/>
        </w:rPr>
        <w:t>Tabule a premietacie plátna</w:t>
      </w:r>
    </w:p>
    <w:p w:rsidR="003748AC" w:rsidRDefault="003748AC" w:rsidP="001615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zverejnenia : </w:t>
      </w:r>
      <w:r w:rsidRPr="004E18E3">
        <w:rPr>
          <w:rFonts w:ascii="Times New Roman" w:hAnsi="Times New Roman" w:cs="Times New Roman"/>
          <w:b/>
          <w:sz w:val="24"/>
          <w:szCs w:val="24"/>
        </w:rPr>
        <w:t>31.12.2013</w:t>
      </w:r>
    </w:p>
    <w:p w:rsidR="003748AC" w:rsidRDefault="003748AC" w:rsidP="001615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vyhlásení verejného obstarávania uverejneného vo Vestníku UVO č. 196/2013 zo dňa 08.10.2013 pod číslom 16376 – WYT</w:t>
      </w:r>
    </w:p>
    <w:p w:rsidR="003748AC" w:rsidRPr="004E18E3" w:rsidRDefault="00431D88" w:rsidP="0016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3748AC" w:rsidRPr="004E18E3">
        <w:rPr>
          <w:rFonts w:ascii="Times New Roman" w:hAnsi="Times New Roman" w:cs="Times New Roman"/>
          <w:b/>
          <w:sz w:val="24"/>
          <w:szCs w:val="24"/>
        </w:rPr>
        <w:t>uchádzačov</w:t>
      </w:r>
      <w:r w:rsidRPr="004E18E3">
        <w:rPr>
          <w:rFonts w:ascii="Times New Roman" w:hAnsi="Times New Roman" w:cs="Times New Roman"/>
          <w:b/>
          <w:sz w:val="24"/>
          <w:szCs w:val="24"/>
        </w:rPr>
        <w:t>, ktorí splnili podmienky účasti na tomto verejnom obstarávaní:</w:t>
      </w:r>
    </w:p>
    <w:p w:rsidR="00431D88" w:rsidRDefault="00431D88" w:rsidP="001615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MIVASOFT, s.r.o., M.R. Štefánika 67/14, Šaľa 927 01</w:t>
      </w:r>
    </w:p>
    <w:p w:rsidR="00431D88" w:rsidRDefault="00431D88" w:rsidP="00431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 VRÁBEĽ, s.r.o., M.R. Štefánika 1832. Dolný Kubín 026 01</w:t>
      </w:r>
    </w:p>
    <w:p w:rsidR="00431D88" w:rsidRDefault="00431D88" w:rsidP="00161566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KVANT, s.r.o., FMFI UK Mlynská Dolina, Bratislava 842 48</w:t>
      </w:r>
    </w:p>
    <w:p w:rsidR="00161566" w:rsidRDefault="00161566" w:rsidP="00161566">
      <w:pPr>
        <w:pStyle w:val="Odsekzoznamu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E18E3" w:rsidRDefault="00431D88" w:rsidP="00161566">
      <w:pPr>
        <w:pStyle w:val="Odsekzoznamu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úspešného uchádzača</w:t>
      </w:r>
      <w:r w:rsidR="004E18E3" w:rsidRPr="004E18E3">
        <w:rPr>
          <w:rFonts w:ascii="Times New Roman" w:hAnsi="Times New Roman" w:cs="Times New Roman"/>
          <w:sz w:val="24"/>
          <w:szCs w:val="24"/>
        </w:rPr>
        <w:t xml:space="preserve"> </w:t>
      </w:r>
      <w:r w:rsidR="004E18E3">
        <w:rPr>
          <w:rFonts w:ascii="Times New Roman" w:hAnsi="Times New Roman" w:cs="Times New Roman"/>
          <w:sz w:val="24"/>
          <w:szCs w:val="24"/>
        </w:rPr>
        <w:t>pre časť A : Elektrospotrebiče</w:t>
      </w:r>
    </w:p>
    <w:p w:rsidR="004E18E3" w:rsidRDefault="004E18E3" w:rsidP="001615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>MIVASOFT, s.r.o., M.R. Štefánika 67/14, Šaľa 927 01</w:t>
      </w:r>
    </w:p>
    <w:p w:rsidR="004E18E3" w:rsidRDefault="004E18E3" w:rsidP="0016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úspešného uchádzača</w:t>
      </w:r>
      <w:r w:rsidRPr="004E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časť B : Kuchynské stoly a regály</w:t>
      </w:r>
    </w:p>
    <w:p w:rsidR="004E18E3" w:rsidRDefault="004E18E3" w:rsidP="000D39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>GASTRO VRÁBEĽ, s.r.o., M.R. Štefánika 1832. Dolný Kubín 026 01</w:t>
      </w:r>
    </w:p>
    <w:p w:rsidR="004E18E3" w:rsidRDefault="004E18E3" w:rsidP="0016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úspešného uchádzača</w:t>
      </w:r>
      <w:r w:rsidRPr="004E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časť C : Kuchynský inventár :</w:t>
      </w:r>
    </w:p>
    <w:p w:rsidR="004E18E3" w:rsidRDefault="004E18E3" w:rsidP="0016156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>Žiaden uchádzač – zrušené verejné obstarávanie na túto časť predmetu zákazky</w:t>
      </w:r>
    </w:p>
    <w:p w:rsidR="004E18E3" w:rsidRDefault="004E18E3" w:rsidP="0016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úspešného uchádzača</w:t>
      </w:r>
      <w:r w:rsidRPr="004E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časť D : Tabule a premietacie plátna</w:t>
      </w:r>
    </w:p>
    <w:p w:rsidR="004E18E3" w:rsidRDefault="004E18E3" w:rsidP="004E18E3">
      <w:pPr>
        <w:rPr>
          <w:rFonts w:ascii="Times New Roman" w:hAnsi="Times New Roman" w:cs="Times New Roman"/>
          <w:b/>
          <w:sz w:val="24"/>
          <w:szCs w:val="24"/>
        </w:rPr>
      </w:pPr>
      <w:r w:rsidRPr="004E18E3">
        <w:rPr>
          <w:rFonts w:ascii="Times New Roman" w:hAnsi="Times New Roman" w:cs="Times New Roman"/>
          <w:b/>
          <w:sz w:val="24"/>
          <w:szCs w:val="24"/>
        </w:rPr>
        <w:t>MIVASOFT, s.r.o., M.R. Štefánika 67/14, Šaľa 927 01</w:t>
      </w:r>
    </w:p>
    <w:p w:rsidR="004E18E3" w:rsidRDefault="004E18E3" w:rsidP="004E18E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výberu</w:t>
      </w:r>
      <w:r w:rsidR="000D39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3925" w:rsidRPr="000D3925" w:rsidRDefault="000D3925" w:rsidP="00161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25">
        <w:rPr>
          <w:rFonts w:ascii="Times New Roman" w:hAnsi="Times New Roman" w:cs="Times New Roman"/>
          <w:sz w:val="24"/>
          <w:szCs w:val="24"/>
        </w:rPr>
        <w:t xml:space="preserve">Ponuky úspešných uchádzačov, ktoré predložili do verejnej súťaže pri zadávaní podlimitnej zákazky na dodávku tovaru „Zariadenie do cvičných kuchýň“, rozdelenú na </w:t>
      </w:r>
      <w:proofErr w:type="spellStart"/>
      <w:r w:rsidRPr="000D3925">
        <w:rPr>
          <w:rFonts w:ascii="Times New Roman" w:hAnsi="Times New Roman" w:cs="Times New Roman"/>
          <w:sz w:val="24"/>
          <w:szCs w:val="24"/>
        </w:rPr>
        <w:t>horeuvedené</w:t>
      </w:r>
      <w:proofErr w:type="spellEnd"/>
      <w:r w:rsidRPr="000D3925">
        <w:rPr>
          <w:rFonts w:ascii="Times New Roman" w:hAnsi="Times New Roman" w:cs="Times New Roman"/>
          <w:sz w:val="24"/>
          <w:szCs w:val="24"/>
        </w:rPr>
        <w:t xml:space="preserve"> časti A., B., C., D., splnili všetky náležitosti uvedené v Súťažných podkladoch </w:t>
      </w:r>
      <w:r>
        <w:rPr>
          <w:rFonts w:ascii="Times New Roman" w:hAnsi="Times New Roman" w:cs="Times New Roman"/>
          <w:sz w:val="24"/>
          <w:szCs w:val="24"/>
        </w:rPr>
        <w:t xml:space="preserve">vrátane </w:t>
      </w:r>
      <w:r w:rsidRPr="000D3925">
        <w:rPr>
          <w:rFonts w:ascii="Times New Roman" w:hAnsi="Times New Roman" w:cs="Times New Roman"/>
          <w:sz w:val="24"/>
          <w:szCs w:val="24"/>
        </w:rPr>
        <w:t>stanovené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0D3925">
        <w:rPr>
          <w:rFonts w:ascii="Times New Roman" w:hAnsi="Times New Roman" w:cs="Times New Roman"/>
          <w:sz w:val="24"/>
          <w:szCs w:val="24"/>
        </w:rPr>
        <w:t xml:space="preserve"> kritéri</w:t>
      </w:r>
      <w:r>
        <w:rPr>
          <w:rFonts w:ascii="Times New Roman" w:hAnsi="Times New Roman" w:cs="Times New Roman"/>
          <w:sz w:val="24"/>
          <w:szCs w:val="24"/>
        </w:rPr>
        <w:t xml:space="preserve">a, ktorým bola najnižšia cena. Nakoľko bola cena s DPH </w:t>
      </w:r>
      <w:r w:rsidR="00161566">
        <w:rPr>
          <w:rFonts w:ascii="Times New Roman" w:hAnsi="Times New Roman" w:cs="Times New Roman"/>
          <w:sz w:val="24"/>
          <w:szCs w:val="24"/>
        </w:rPr>
        <w:t>u jednotlivých častí</w:t>
      </w:r>
      <w:r>
        <w:rPr>
          <w:rFonts w:ascii="Times New Roman" w:hAnsi="Times New Roman" w:cs="Times New Roman"/>
          <w:sz w:val="24"/>
          <w:szCs w:val="24"/>
        </w:rPr>
        <w:t xml:space="preserve"> u úspešných uchádzačoch najnižšia</w:t>
      </w:r>
      <w:r w:rsidR="00161566">
        <w:rPr>
          <w:rFonts w:ascii="Times New Roman" w:hAnsi="Times New Roman" w:cs="Times New Roman"/>
          <w:sz w:val="24"/>
          <w:szCs w:val="24"/>
        </w:rPr>
        <w:t>, boli ich ponuky vyhodnotené ako úspešné. Úspešní uchádzači budú vyzvaní uzavrieť zmluvu s verejným obstarávateľom.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E3" w:rsidRDefault="00161566" w:rsidP="00161566">
      <w:pPr>
        <w:pStyle w:val="Odsekzoznamu"/>
        <w:spacing w:before="360" w:after="120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Glória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Michalidesová</w:t>
      </w:r>
      <w:proofErr w:type="spellEnd"/>
    </w:p>
    <w:p w:rsidR="00431D88" w:rsidRPr="00431D88" w:rsidRDefault="00161566" w:rsidP="00431D88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školy</w:t>
      </w:r>
    </w:p>
    <w:sectPr w:rsidR="00431D88" w:rsidRPr="0043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AD1"/>
    <w:multiLevelType w:val="hybridMultilevel"/>
    <w:tmpl w:val="DF80E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401C"/>
    <w:multiLevelType w:val="hybridMultilevel"/>
    <w:tmpl w:val="DF80E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517"/>
    <w:multiLevelType w:val="hybridMultilevel"/>
    <w:tmpl w:val="DF80E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48AC"/>
    <w:rsid w:val="000D3925"/>
    <w:rsid w:val="00161566"/>
    <w:rsid w:val="003748AC"/>
    <w:rsid w:val="00431D88"/>
    <w:rsid w:val="004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47B1-18E0-4834-AC3D-01A54442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</dc:creator>
  <cp:keywords/>
  <dc:description/>
  <cp:lastModifiedBy>Miňo</cp:lastModifiedBy>
  <cp:revision>3</cp:revision>
  <dcterms:created xsi:type="dcterms:W3CDTF">2013-12-31T12:17:00Z</dcterms:created>
  <dcterms:modified xsi:type="dcterms:W3CDTF">2013-12-31T13:06:00Z</dcterms:modified>
</cp:coreProperties>
</file>